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9D012F" w14:textId="77777777" w:rsidR="009D593E" w:rsidRPr="00694987" w:rsidRDefault="000C61C9" w:rsidP="00694987">
      <w:pPr>
        <w:ind w:left="1440" w:hanging="1440"/>
        <w:jc w:val="center"/>
        <w:rPr>
          <w:rFonts w:ascii="Candara" w:hAnsi="Candara" w:cs="Arial"/>
        </w:rPr>
      </w:pPr>
      <w:r>
        <w:rPr>
          <w:rFonts w:ascii="Candara" w:hAnsi="Candara" w:cs="Arial"/>
          <w:noProof/>
        </w:rPr>
        <w:drawing>
          <wp:inline distT="0" distB="0" distL="0" distR="0" wp14:anchorId="41BCB4D1" wp14:editId="22726AAD">
            <wp:extent cx="1524000" cy="1144699"/>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6979" cy="1146937"/>
                    </a:xfrm>
                    <a:prstGeom prst="rect">
                      <a:avLst/>
                    </a:prstGeom>
                    <a:noFill/>
                  </pic:spPr>
                </pic:pic>
              </a:graphicData>
            </a:graphic>
          </wp:inline>
        </w:drawing>
      </w:r>
      <w:bookmarkStart w:id="0" w:name="_GoBack"/>
      <w:bookmarkEnd w:id="0"/>
    </w:p>
    <w:p w14:paraId="141A6AF7" w14:textId="77777777" w:rsidR="004A35B8" w:rsidRPr="005032C0" w:rsidRDefault="004A35B8" w:rsidP="00236193">
      <w:pPr>
        <w:spacing w:after="0"/>
        <w:ind w:left="-284" w:right="-518"/>
        <w:jc w:val="both"/>
        <w:rPr>
          <w:rFonts w:cstheme="minorHAnsi"/>
          <w:b/>
          <w:sz w:val="24"/>
          <w:szCs w:val="24"/>
        </w:rPr>
      </w:pPr>
      <w:r w:rsidRPr="005032C0">
        <w:rPr>
          <w:rFonts w:cstheme="minorHAnsi"/>
          <w:b/>
          <w:sz w:val="24"/>
          <w:szCs w:val="24"/>
        </w:rPr>
        <w:t>ANEXO 1</w:t>
      </w:r>
    </w:p>
    <w:p w14:paraId="3BB7FEA7" w14:textId="0D161A70" w:rsidR="004A35B8" w:rsidRDefault="004A35B8" w:rsidP="00236193">
      <w:pPr>
        <w:spacing w:after="0"/>
        <w:ind w:left="-284" w:right="-518"/>
        <w:jc w:val="both"/>
        <w:rPr>
          <w:rFonts w:cstheme="minorHAnsi"/>
          <w:b/>
          <w:bCs/>
          <w:sz w:val="24"/>
          <w:szCs w:val="24"/>
          <w:lang w:val="es-PE"/>
        </w:rPr>
      </w:pPr>
      <w:r w:rsidRPr="005032C0">
        <w:rPr>
          <w:rFonts w:cstheme="minorHAnsi"/>
          <w:b/>
          <w:sz w:val="24"/>
          <w:szCs w:val="24"/>
        </w:rPr>
        <w:t>Comentarios al</w:t>
      </w:r>
      <w:r w:rsidR="00711D42">
        <w:rPr>
          <w:rFonts w:cstheme="minorHAnsi"/>
          <w:b/>
          <w:sz w:val="24"/>
          <w:szCs w:val="24"/>
        </w:rPr>
        <w:t xml:space="preserve"> </w:t>
      </w:r>
      <w:r w:rsidR="00711D42" w:rsidRPr="00711D42">
        <w:rPr>
          <w:rFonts w:cstheme="minorHAnsi"/>
          <w:b/>
          <w:sz w:val="24"/>
          <w:szCs w:val="24"/>
        </w:rPr>
        <w:t>Proyecto de Norma que deroga el Reglamento para la Supervisión de la Cobertura de los Servicios Públicos de Telecomunicaciones Móviles y Fijos con Acceso Inalámbrico, y modifica el Reglamento General de Calidad de los Servicios Públicos de Telecomunicaciones, el Texto Único Ordenado de las Condiciones de Uso de los Servicios Públicos de Telecomunicaciones y la Norma de Requerimientos de Información Periódica</w:t>
      </w:r>
      <w:r w:rsidR="00642F6F">
        <w:rPr>
          <w:rFonts w:cstheme="minorHAnsi"/>
          <w:b/>
          <w:bCs/>
          <w:sz w:val="24"/>
          <w:szCs w:val="24"/>
          <w:lang w:val="es-PE"/>
        </w:rPr>
        <w:t>.</w:t>
      </w:r>
    </w:p>
    <w:p w14:paraId="240101A6" w14:textId="77777777" w:rsidR="00236193" w:rsidRPr="00236193" w:rsidRDefault="00236193" w:rsidP="00236193">
      <w:pPr>
        <w:spacing w:after="0"/>
        <w:ind w:left="-284" w:right="-518"/>
        <w:jc w:val="both"/>
        <w:rPr>
          <w:rFonts w:cstheme="minorHAnsi"/>
          <w:b/>
          <w:bCs/>
          <w:sz w:val="24"/>
          <w:szCs w:val="24"/>
          <w:lang w:val="es-PE"/>
        </w:rPr>
      </w:pPr>
    </w:p>
    <w:tbl>
      <w:tblPr>
        <w:tblStyle w:val="Tablaconcuadrcula"/>
        <w:tblW w:w="10207" w:type="dxa"/>
        <w:tblInd w:w="-714" w:type="dxa"/>
        <w:tblLook w:val="04A0" w:firstRow="1" w:lastRow="0" w:firstColumn="1" w:lastColumn="0" w:noHBand="0" w:noVBand="1"/>
      </w:tblPr>
      <w:tblGrid>
        <w:gridCol w:w="6238"/>
        <w:gridCol w:w="3969"/>
      </w:tblGrid>
      <w:tr w:rsidR="0010272B" w:rsidRPr="00D57CC6" w14:paraId="036196C9" w14:textId="77777777" w:rsidTr="00236193">
        <w:tc>
          <w:tcPr>
            <w:tcW w:w="6238" w:type="dxa"/>
          </w:tcPr>
          <w:p w14:paraId="1CB1162D" w14:textId="77777777" w:rsidR="0010272B" w:rsidRPr="00D57CC6" w:rsidRDefault="00A809B4" w:rsidP="00A809B4">
            <w:pPr>
              <w:jc w:val="center"/>
              <w:rPr>
                <w:rFonts w:cstheme="minorHAnsi"/>
                <w:b/>
                <w:sz w:val="24"/>
                <w:szCs w:val="24"/>
              </w:rPr>
            </w:pPr>
            <w:r w:rsidRPr="00D57CC6">
              <w:rPr>
                <w:rFonts w:cstheme="minorHAnsi"/>
                <w:b/>
                <w:sz w:val="24"/>
                <w:szCs w:val="24"/>
              </w:rPr>
              <w:t>Artículo del Proyecto</w:t>
            </w:r>
          </w:p>
        </w:tc>
        <w:tc>
          <w:tcPr>
            <w:tcW w:w="3969" w:type="dxa"/>
          </w:tcPr>
          <w:p w14:paraId="50AC7717" w14:textId="77777777" w:rsidR="0010272B" w:rsidRPr="00D57CC6" w:rsidRDefault="00A809B4" w:rsidP="00A809B4">
            <w:pPr>
              <w:jc w:val="center"/>
              <w:rPr>
                <w:rFonts w:cstheme="minorHAnsi"/>
                <w:b/>
                <w:sz w:val="24"/>
                <w:szCs w:val="24"/>
              </w:rPr>
            </w:pPr>
            <w:r w:rsidRPr="00D57CC6">
              <w:rPr>
                <w:rFonts w:cstheme="minorHAnsi"/>
                <w:b/>
                <w:sz w:val="24"/>
                <w:szCs w:val="24"/>
              </w:rPr>
              <w:t>Comentarios</w:t>
            </w:r>
          </w:p>
        </w:tc>
      </w:tr>
      <w:tr w:rsidR="00903773" w:rsidRPr="00D57CC6" w14:paraId="1C4DF7EF" w14:textId="77777777" w:rsidTr="00236193">
        <w:tc>
          <w:tcPr>
            <w:tcW w:w="6238" w:type="dxa"/>
          </w:tcPr>
          <w:p w14:paraId="51E23FEF" w14:textId="77777777" w:rsidR="00642F6F" w:rsidRDefault="00642F6F" w:rsidP="007C6A89">
            <w:pPr>
              <w:jc w:val="both"/>
              <w:rPr>
                <w:rFonts w:cstheme="minorHAnsi"/>
                <w:b/>
                <w:bCs/>
                <w:i/>
                <w:iCs/>
                <w:lang w:val="es-PE"/>
              </w:rPr>
            </w:pPr>
          </w:p>
          <w:p w14:paraId="6FBBA663" w14:textId="77777777" w:rsidR="00711D42" w:rsidRDefault="00711D42" w:rsidP="00711D42">
            <w:pPr>
              <w:jc w:val="both"/>
              <w:rPr>
                <w:rFonts w:cstheme="minorHAnsi"/>
                <w:b/>
                <w:bCs/>
                <w:i/>
                <w:iCs/>
                <w:lang w:val="es-PE"/>
              </w:rPr>
            </w:pPr>
            <w:r w:rsidRPr="00711D42">
              <w:rPr>
                <w:rFonts w:cstheme="minorHAnsi"/>
                <w:b/>
                <w:bCs/>
                <w:i/>
                <w:iCs/>
                <w:lang w:val="es-PE"/>
              </w:rPr>
              <w:t xml:space="preserve">Artículo </w:t>
            </w:r>
            <w:proofErr w:type="gramStart"/>
            <w:r w:rsidRPr="00711D42">
              <w:rPr>
                <w:rFonts w:cstheme="minorHAnsi"/>
                <w:b/>
                <w:bCs/>
                <w:i/>
                <w:iCs/>
                <w:lang w:val="es-PE"/>
              </w:rPr>
              <w:t>Segundo.-</w:t>
            </w:r>
            <w:proofErr w:type="gramEnd"/>
            <w:r w:rsidRPr="00711D42">
              <w:rPr>
                <w:rFonts w:cstheme="minorHAnsi"/>
                <w:b/>
                <w:bCs/>
                <w:i/>
                <w:iCs/>
                <w:lang w:val="es-PE"/>
              </w:rPr>
              <w:t xml:space="preserve"> Incorporar el artículo 12-A y el Anexo </w:t>
            </w:r>
            <w:proofErr w:type="spellStart"/>
            <w:r w:rsidRPr="00711D42">
              <w:rPr>
                <w:rFonts w:cstheme="minorHAnsi"/>
                <w:b/>
                <w:bCs/>
                <w:i/>
                <w:iCs/>
                <w:lang w:val="es-PE"/>
              </w:rPr>
              <w:t>N°</w:t>
            </w:r>
            <w:proofErr w:type="spellEnd"/>
            <w:r w:rsidRPr="00711D42">
              <w:rPr>
                <w:rFonts w:cstheme="minorHAnsi"/>
                <w:b/>
                <w:bCs/>
                <w:i/>
                <w:iCs/>
                <w:lang w:val="es-PE"/>
              </w:rPr>
              <w:t xml:space="preserve"> 23 al Reglamento General de Calidad de los Servicios Públicos de Telecomunicaciones, aprobado mediante Resolución de Consejo Directivo </w:t>
            </w:r>
            <w:proofErr w:type="spellStart"/>
            <w:r w:rsidRPr="00711D42">
              <w:rPr>
                <w:rFonts w:cstheme="minorHAnsi"/>
                <w:b/>
                <w:bCs/>
                <w:i/>
                <w:iCs/>
                <w:lang w:val="es-PE"/>
              </w:rPr>
              <w:t>Nº</w:t>
            </w:r>
            <w:proofErr w:type="spellEnd"/>
            <w:r w:rsidRPr="00711D42">
              <w:rPr>
                <w:rFonts w:cstheme="minorHAnsi"/>
                <w:b/>
                <w:bCs/>
                <w:i/>
                <w:iCs/>
                <w:lang w:val="es-PE"/>
              </w:rPr>
              <w:t xml:space="preserve"> 123-2014-CD-OSIPTEL, con los siguientes textos</w:t>
            </w:r>
            <w:r>
              <w:rPr>
                <w:rFonts w:cstheme="minorHAnsi"/>
                <w:b/>
                <w:bCs/>
                <w:i/>
                <w:iCs/>
                <w:lang w:val="es-PE"/>
              </w:rPr>
              <w:t>:</w:t>
            </w:r>
          </w:p>
          <w:p w14:paraId="0CEB19C1" w14:textId="77777777" w:rsidR="00711D42" w:rsidRDefault="00711D42" w:rsidP="00711D42">
            <w:pPr>
              <w:jc w:val="both"/>
              <w:rPr>
                <w:rFonts w:cstheme="minorHAnsi"/>
                <w:b/>
                <w:bCs/>
                <w:i/>
                <w:iCs/>
                <w:lang w:val="es-PE"/>
              </w:rPr>
            </w:pPr>
          </w:p>
          <w:p w14:paraId="3247C945" w14:textId="77777777" w:rsidR="00711D42" w:rsidRDefault="007C6A89" w:rsidP="00711D42">
            <w:pPr>
              <w:jc w:val="both"/>
              <w:rPr>
                <w:rFonts w:cstheme="minorHAnsi"/>
                <w:i/>
                <w:iCs/>
              </w:rPr>
            </w:pPr>
            <w:r w:rsidRPr="007C6A89">
              <w:rPr>
                <w:rFonts w:cstheme="minorHAnsi"/>
                <w:b/>
                <w:bCs/>
                <w:i/>
                <w:iCs/>
                <w:lang w:val="es-PE"/>
              </w:rPr>
              <w:t>"</w:t>
            </w:r>
            <w:r w:rsidR="00711D42" w:rsidRPr="007C6A89">
              <w:rPr>
                <w:rFonts w:cstheme="minorHAnsi"/>
                <w:i/>
                <w:iCs/>
                <w:lang w:val="es-PE"/>
              </w:rPr>
              <w:t xml:space="preserve"> </w:t>
            </w:r>
            <w:r w:rsidR="00711D42" w:rsidRPr="00711D42">
              <w:rPr>
                <w:rFonts w:cstheme="minorHAnsi"/>
                <w:b/>
                <w:i/>
                <w:iCs/>
              </w:rPr>
              <w:t>Artículo 12-A.- Herramientas a ser proporcionadas por los operadores al OSIPTEL</w:t>
            </w:r>
            <w:r w:rsidR="00711D42" w:rsidRPr="00711D42">
              <w:rPr>
                <w:rFonts w:cstheme="minorHAnsi"/>
                <w:i/>
                <w:iCs/>
              </w:rPr>
              <w:t xml:space="preserve"> </w:t>
            </w:r>
          </w:p>
          <w:p w14:paraId="070132D6" w14:textId="77777777" w:rsidR="00711D42" w:rsidRPr="00711D42" w:rsidRDefault="00711D42" w:rsidP="00711D42">
            <w:pPr>
              <w:jc w:val="both"/>
              <w:rPr>
                <w:rFonts w:cstheme="minorHAnsi"/>
                <w:i/>
                <w:iCs/>
              </w:rPr>
            </w:pPr>
          </w:p>
          <w:p w14:paraId="5407FC41" w14:textId="77777777" w:rsidR="00711D42" w:rsidRDefault="00711D42" w:rsidP="00711D42">
            <w:pPr>
              <w:jc w:val="both"/>
              <w:rPr>
                <w:rFonts w:cstheme="minorHAnsi"/>
                <w:i/>
                <w:iCs/>
              </w:rPr>
            </w:pPr>
            <w:r w:rsidRPr="00711D42">
              <w:rPr>
                <w:rFonts w:cstheme="minorHAnsi"/>
                <w:i/>
                <w:iCs/>
              </w:rPr>
              <w:t>El operador deberá brindar al OSIPTEL acceso permanente a su sistema de Gestión de Red (</w:t>
            </w:r>
            <w:proofErr w:type="spellStart"/>
            <w:r w:rsidRPr="00711D42">
              <w:rPr>
                <w:rFonts w:cstheme="minorHAnsi"/>
                <w:i/>
                <w:iCs/>
              </w:rPr>
              <w:t>OSS</w:t>
            </w:r>
            <w:proofErr w:type="spellEnd"/>
            <w:r w:rsidRPr="00711D42">
              <w:rPr>
                <w:rFonts w:cstheme="minorHAnsi"/>
                <w:i/>
                <w:iCs/>
              </w:rPr>
              <w:t xml:space="preserve"> o similar), en los términos señalados por el Regulador mediante comunicación. Para tal efecto, mediante un aplicativo y las respectivas credenciales (usuario, contraseña, entre otros), los funcionarios designados del OSIPTEL accederán en tiempo real a la información de configuración y estado de los diversos elementos de red (acceso, transporte y </w:t>
            </w:r>
            <w:proofErr w:type="spellStart"/>
            <w:r w:rsidRPr="00711D42">
              <w:rPr>
                <w:rFonts w:cstheme="minorHAnsi"/>
                <w:i/>
                <w:iCs/>
              </w:rPr>
              <w:t>core</w:t>
            </w:r>
            <w:proofErr w:type="spellEnd"/>
            <w:r w:rsidRPr="00711D42">
              <w:rPr>
                <w:rFonts w:cstheme="minorHAnsi"/>
                <w:i/>
                <w:iCs/>
              </w:rPr>
              <w:t xml:space="preserve">) utilizados para la prestación de los servicios móviles, fijos alámbricos e inalámbricos.  </w:t>
            </w:r>
          </w:p>
          <w:p w14:paraId="51653283" w14:textId="77777777" w:rsidR="00711D42" w:rsidRPr="00711D42" w:rsidRDefault="00711D42" w:rsidP="00711D42">
            <w:pPr>
              <w:jc w:val="both"/>
              <w:rPr>
                <w:rFonts w:cstheme="minorHAnsi"/>
                <w:i/>
                <w:iCs/>
              </w:rPr>
            </w:pPr>
          </w:p>
          <w:p w14:paraId="324FB0D2" w14:textId="77777777" w:rsidR="00711D42" w:rsidRDefault="00711D42" w:rsidP="00711D42">
            <w:pPr>
              <w:jc w:val="both"/>
              <w:rPr>
                <w:rFonts w:cstheme="minorHAnsi"/>
                <w:i/>
                <w:iCs/>
              </w:rPr>
            </w:pPr>
            <w:r w:rsidRPr="00711D42">
              <w:rPr>
                <w:rFonts w:cstheme="minorHAnsi"/>
                <w:i/>
                <w:iCs/>
              </w:rPr>
              <w:t xml:space="preserve">Además, el acceso en tiempo </w:t>
            </w:r>
            <w:proofErr w:type="gramStart"/>
            <w:r w:rsidRPr="00711D42">
              <w:rPr>
                <w:rFonts w:cstheme="minorHAnsi"/>
                <w:i/>
                <w:iCs/>
              </w:rPr>
              <w:t>real,</w:t>
            </w:r>
            <w:proofErr w:type="gramEnd"/>
            <w:r w:rsidRPr="00711D42">
              <w:rPr>
                <w:rFonts w:cstheme="minorHAnsi"/>
                <w:i/>
                <w:iCs/>
              </w:rPr>
              <w:t xml:space="preserve"> debe permitir visualizar las alarmas (energía, saturación, conectividad, energía, etc.) y permitir el monitoreo del tráfico de voz y datos en los diferentes segmentos de la red, con el fin de conocer la operatividad así como los niveles de consumo de tráfico de los enlaces de la red. Asimismo, debe permitir la descarga de reportes de acuerdo con los términos señalados por el regulador, así como la implementación de indicadores de performance que defina el regulador, entre otros aspectos que sean solicitados por el OSIPTEL.  </w:t>
            </w:r>
          </w:p>
          <w:p w14:paraId="363F2AFA" w14:textId="77777777" w:rsidR="00711D42" w:rsidRPr="00711D42" w:rsidRDefault="00711D42" w:rsidP="00711D42">
            <w:pPr>
              <w:jc w:val="both"/>
              <w:rPr>
                <w:rFonts w:cstheme="minorHAnsi"/>
                <w:i/>
                <w:iCs/>
              </w:rPr>
            </w:pPr>
          </w:p>
          <w:p w14:paraId="306085A0" w14:textId="77777777" w:rsidR="00642F6F" w:rsidRPr="00711D42" w:rsidRDefault="00711D42" w:rsidP="007C6A89">
            <w:pPr>
              <w:jc w:val="both"/>
              <w:rPr>
                <w:rFonts w:cstheme="minorHAnsi"/>
                <w:i/>
                <w:iCs/>
              </w:rPr>
            </w:pPr>
            <w:r w:rsidRPr="00711D42">
              <w:rPr>
                <w:rFonts w:cstheme="minorHAnsi"/>
                <w:i/>
                <w:iCs/>
              </w:rPr>
              <w:t xml:space="preserve">Asimismo, el operador deberá brindar al OSIPTEL, cuando se requiera, acceso remoto o presencial, al sistema de simulación de cobertura (móvil o fija inalámbrica) utilizado por el operador. El OSIPTEL podrá solicitar el acceso directo a la información fuente de los sistemas </w:t>
            </w:r>
            <w:proofErr w:type="spellStart"/>
            <w:r w:rsidRPr="00711D42">
              <w:rPr>
                <w:rFonts w:cstheme="minorHAnsi"/>
                <w:i/>
                <w:iCs/>
              </w:rPr>
              <w:t>OSS</w:t>
            </w:r>
            <w:proofErr w:type="spellEnd"/>
            <w:r w:rsidRPr="00711D42">
              <w:rPr>
                <w:rFonts w:cstheme="minorHAnsi"/>
                <w:i/>
                <w:iCs/>
              </w:rPr>
              <w:t xml:space="preserve"> de los operadores</w:t>
            </w:r>
            <w:r>
              <w:rPr>
                <w:rFonts w:cstheme="minorHAnsi"/>
                <w:i/>
                <w:iCs/>
              </w:rPr>
              <w:t>”</w:t>
            </w:r>
          </w:p>
          <w:p w14:paraId="63297F97" w14:textId="77777777" w:rsidR="00B0237D" w:rsidRPr="00642F6F" w:rsidRDefault="00B0237D" w:rsidP="007C6A89">
            <w:pPr>
              <w:jc w:val="both"/>
              <w:rPr>
                <w:rFonts w:cstheme="minorHAnsi"/>
              </w:rPr>
            </w:pPr>
          </w:p>
        </w:tc>
        <w:tc>
          <w:tcPr>
            <w:tcW w:w="3969" w:type="dxa"/>
          </w:tcPr>
          <w:p w14:paraId="4A109D9F" w14:textId="77777777" w:rsidR="00711D42" w:rsidRDefault="00711D42" w:rsidP="00903773">
            <w:pPr>
              <w:jc w:val="both"/>
              <w:rPr>
                <w:rFonts w:cstheme="minorHAnsi"/>
              </w:rPr>
            </w:pPr>
          </w:p>
          <w:p w14:paraId="7A7BBE77" w14:textId="77777777" w:rsidR="00711D42" w:rsidRPr="00711D42" w:rsidRDefault="00711D42" w:rsidP="00711D42">
            <w:pPr>
              <w:jc w:val="both"/>
              <w:rPr>
                <w:lang w:val="es-PE" w:eastAsia="ja-JP"/>
              </w:rPr>
            </w:pPr>
            <w:r w:rsidRPr="00711D42">
              <w:rPr>
                <w:lang w:val="es-PE" w:eastAsia="ja-JP"/>
              </w:rPr>
              <w:t xml:space="preserve">Sobre el particular, somos de la </w:t>
            </w:r>
            <w:r w:rsidRPr="00711D42">
              <w:rPr>
                <w:lang w:val="es-PE" w:eastAsia="ja-JP"/>
              </w:rPr>
              <w:t>opinión</w:t>
            </w:r>
            <w:r w:rsidRPr="00711D42">
              <w:rPr>
                <w:lang w:val="es-PE" w:eastAsia="ja-JP"/>
              </w:rPr>
              <w:t xml:space="preserve"> que esta inclusión de acceso a los sistemas de las empresas operadoras podría generar escenarios de afectación de información confidencial y relevante del </w:t>
            </w:r>
            <w:proofErr w:type="spellStart"/>
            <w:r w:rsidRPr="00711D42">
              <w:rPr>
                <w:lang w:val="es-PE" w:eastAsia="ja-JP"/>
              </w:rPr>
              <w:t>core</w:t>
            </w:r>
            <w:proofErr w:type="spellEnd"/>
            <w:r w:rsidRPr="00711D42">
              <w:rPr>
                <w:lang w:val="es-PE" w:eastAsia="ja-JP"/>
              </w:rPr>
              <w:t xml:space="preserve"> de negocios de las empresas operadoras, y que en la mayoría de </w:t>
            </w:r>
            <w:proofErr w:type="gramStart"/>
            <w:r w:rsidRPr="00711D42">
              <w:rPr>
                <w:lang w:val="es-PE" w:eastAsia="ja-JP"/>
              </w:rPr>
              <w:t>casos</w:t>
            </w:r>
            <w:proofErr w:type="gramEnd"/>
            <w:r w:rsidRPr="00711D42">
              <w:rPr>
                <w:lang w:val="es-PE" w:eastAsia="ja-JP"/>
              </w:rPr>
              <w:t xml:space="preserve"> es información de los clientes respect</w:t>
            </w:r>
            <w:r>
              <w:rPr>
                <w:lang w:val="es-PE" w:eastAsia="ja-JP"/>
              </w:rPr>
              <w:t>o</w:t>
            </w:r>
            <w:r w:rsidRPr="00711D42">
              <w:rPr>
                <w:lang w:val="es-PE" w:eastAsia="ja-JP"/>
              </w:rPr>
              <w:t xml:space="preserve"> de los cuales se firman acuerdos de confidencialidad. Debe considerarse a su vez, que la propia administración cuenta con mecanismos normativos de control y auditoria, tales como l</w:t>
            </w:r>
            <w:r>
              <w:rPr>
                <w:lang w:val="es-PE" w:eastAsia="ja-JP"/>
              </w:rPr>
              <w:t>as solicitudes</w:t>
            </w:r>
            <w:r w:rsidR="00AF02AD">
              <w:rPr>
                <w:lang w:val="es-PE" w:eastAsia="ja-JP"/>
              </w:rPr>
              <w:t xml:space="preserve"> de</w:t>
            </w:r>
            <w:r>
              <w:rPr>
                <w:lang w:val="es-PE" w:eastAsia="ja-JP"/>
              </w:rPr>
              <w:t xml:space="preserve"> información </w:t>
            </w:r>
            <w:r w:rsidR="00AF02AD">
              <w:rPr>
                <w:lang w:val="es-PE" w:eastAsia="ja-JP"/>
              </w:rPr>
              <w:t>periódica y</w:t>
            </w:r>
            <w:r>
              <w:rPr>
                <w:lang w:val="es-PE" w:eastAsia="ja-JP"/>
              </w:rPr>
              <w:t xml:space="preserve"> </w:t>
            </w:r>
            <w:r w:rsidR="00AF02AD">
              <w:rPr>
                <w:lang w:val="es-PE" w:eastAsia="ja-JP"/>
              </w:rPr>
              <w:t>l</w:t>
            </w:r>
            <w:r w:rsidRPr="00711D42">
              <w:rPr>
                <w:lang w:val="es-PE" w:eastAsia="ja-JP"/>
              </w:rPr>
              <w:t xml:space="preserve">os procesos de fiscalización, los cuales tienen por objetivo la verificación de incidencias de forma </w:t>
            </w:r>
            <w:proofErr w:type="spellStart"/>
            <w:r w:rsidRPr="00711D42">
              <w:rPr>
                <w:lang w:val="es-PE" w:eastAsia="ja-JP"/>
              </w:rPr>
              <w:t>ex-post</w:t>
            </w:r>
            <w:proofErr w:type="spellEnd"/>
            <w:r w:rsidRPr="00711D42">
              <w:rPr>
                <w:lang w:val="es-PE" w:eastAsia="ja-JP"/>
              </w:rPr>
              <w:t>.</w:t>
            </w:r>
          </w:p>
          <w:p w14:paraId="7846D609" w14:textId="77777777" w:rsidR="00711D42" w:rsidRPr="00711D42" w:rsidRDefault="00711D42" w:rsidP="00711D42">
            <w:pPr>
              <w:jc w:val="both"/>
              <w:rPr>
                <w:lang w:val="es-PE" w:eastAsia="ja-JP"/>
              </w:rPr>
            </w:pPr>
          </w:p>
          <w:p w14:paraId="747DE1D7" w14:textId="710A8122" w:rsidR="00A116ED" w:rsidRPr="00236193" w:rsidRDefault="00711D42" w:rsidP="00236193">
            <w:pPr>
              <w:jc w:val="both"/>
              <w:rPr>
                <w:lang w:val="es-PE" w:eastAsia="ja-JP"/>
              </w:rPr>
            </w:pPr>
            <w:r w:rsidRPr="00711D42">
              <w:rPr>
                <w:lang w:val="es-PE" w:eastAsia="ja-JP"/>
              </w:rPr>
              <w:t xml:space="preserve">Ejercer un control </w:t>
            </w:r>
            <w:proofErr w:type="spellStart"/>
            <w:r w:rsidRPr="00711D42">
              <w:rPr>
                <w:lang w:val="es-PE" w:eastAsia="ja-JP"/>
              </w:rPr>
              <w:t>ex-ante</w:t>
            </w:r>
            <w:proofErr w:type="spellEnd"/>
            <w:r w:rsidRPr="00711D42">
              <w:rPr>
                <w:lang w:val="es-PE" w:eastAsia="ja-JP"/>
              </w:rPr>
              <w:t xml:space="preserve"> genera un exceso en la propia forma de ejercer controles sobre las empresas operadoras, lo que puede generar situaciones de un intervencionismo excesivo, por lo que </w:t>
            </w:r>
            <w:r w:rsidRPr="00711D42">
              <w:rPr>
                <w:lang w:val="es-PE" w:eastAsia="ja-JP"/>
              </w:rPr>
              <w:t>el ejercicio de control debe</w:t>
            </w:r>
            <w:r w:rsidRPr="00711D42">
              <w:rPr>
                <w:lang w:val="es-PE" w:eastAsia="ja-JP"/>
              </w:rPr>
              <w:t xml:space="preserve"> estar acotadas a situaciones de hecho perfectamente identificables que en la práctica hayan generado un perjuicio o distorsiones en el mercado. Por ello, pedimos a su Despacho se revise de forma cuidadosa esta propuesta de inclusión y, en consecuencia, solicitamos la no inclusión </w:t>
            </w:r>
            <w:proofErr w:type="gramStart"/>
            <w:r w:rsidRPr="00711D42">
              <w:rPr>
                <w:lang w:val="es-PE" w:eastAsia="ja-JP"/>
              </w:rPr>
              <w:t>del mismo</w:t>
            </w:r>
            <w:proofErr w:type="gramEnd"/>
            <w:r w:rsidRPr="00711D42">
              <w:rPr>
                <w:lang w:val="es-PE" w:eastAsia="ja-JP"/>
              </w:rPr>
              <w:t xml:space="preserve"> y se deje sin efecto esta propuesta en cuanto al artículo comentado. </w:t>
            </w:r>
          </w:p>
        </w:tc>
      </w:tr>
    </w:tbl>
    <w:p w14:paraId="762D44FE" w14:textId="77777777" w:rsidR="00835C48" w:rsidRPr="005032C0" w:rsidRDefault="00835C48" w:rsidP="00446D44">
      <w:pPr>
        <w:jc w:val="both"/>
        <w:rPr>
          <w:rFonts w:cstheme="minorHAnsi"/>
          <w:sz w:val="24"/>
          <w:szCs w:val="24"/>
        </w:rPr>
      </w:pPr>
    </w:p>
    <w:sectPr w:rsidR="00835C48" w:rsidRPr="005032C0" w:rsidSect="00236193">
      <w:pgSz w:w="12240" w:h="15840"/>
      <w:pgMar w:top="142"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7B038B" w14:textId="77777777" w:rsidR="0028473C" w:rsidRDefault="0028473C" w:rsidP="002A35B4">
      <w:pPr>
        <w:spacing w:after="0" w:line="240" w:lineRule="auto"/>
      </w:pPr>
      <w:r>
        <w:separator/>
      </w:r>
    </w:p>
  </w:endnote>
  <w:endnote w:type="continuationSeparator" w:id="0">
    <w:p w14:paraId="4638E578" w14:textId="77777777" w:rsidR="0028473C" w:rsidRDefault="0028473C" w:rsidP="002A35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2F540" w14:textId="77777777" w:rsidR="0028473C" w:rsidRDefault="0028473C" w:rsidP="002A35B4">
      <w:pPr>
        <w:spacing w:after="0" w:line="240" w:lineRule="auto"/>
      </w:pPr>
      <w:r>
        <w:separator/>
      </w:r>
    </w:p>
  </w:footnote>
  <w:footnote w:type="continuationSeparator" w:id="0">
    <w:p w14:paraId="110E71CC" w14:textId="77777777" w:rsidR="0028473C" w:rsidRDefault="0028473C" w:rsidP="002A35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E544D"/>
    <w:multiLevelType w:val="hybridMultilevel"/>
    <w:tmpl w:val="0F082040"/>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D814AEA"/>
    <w:multiLevelType w:val="hybridMultilevel"/>
    <w:tmpl w:val="45F89244"/>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 w15:restartNumberingAfterBreak="0">
    <w:nsid w:val="1107619A"/>
    <w:multiLevelType w:val="hybridMultilevel"/>
    <w:tmpl w:val="57D87654"/>
    <w:lvl w:ilvl="0" w:tplc="240A000F">
      <w:start w:val="1"/>
      <w:numFmt w:val="decimal"/>
      <w:lvlText w:val="%1."/>
      <w:lvlJc w:val="left"/>
      <w:pPr>
        <w:ind w:left="757" w:hanging="360"/>
      </w:pPr>
    </w:lvl>
    <w:lvl w:ilvl="1" w:tplc="240A0019" w:tentative="1">
      <w:start w:val="1"/>
      <w:numFmt w:val="lowerLetter"/>
      <w:lvlText w:val="%2."/>
      <w:lvlJc w:val="left"/>
      <w:pPr>
        <w:ind w:left="1477" w:hanging="360"/>
      </w:pPr>
    </w:lvl>
    <w:lvl w:ilvl="2" w:tplc="240A001B" w:tentative="1">
      <w:start w:val="1"/>
      <w:numFmt w:val="lowerRoman"/>
      <w:lvlText w:val="%3."/>
      <w:lvlJc w:val="right"/>
      <w:pPr>
        <w:ind w:left="2197" w:hanging="180"/>
      </w:pPr>
    </w:lvl>
    <w:lvl w:ilvl="3" w:tplc="240A000F" w:tentative="1">
      <w:start w:val="1"/>
      <w:numFmt w:val="decimal"/>
      <w:lvlText w:val="%4."/>
      <w:lvlJc w:val="left"/>
      <w:pPr>
        <w:ind w:left="2917" w:hanging="360"/>
      </w:pPr>
    </w:lvl>
    <w:lvl w:ilvl="4" w:tplc="240A0019" w:tentative="1">
      <w:start w:val="1"/>
      <w:numFmt w:val="lowerLetter"/>
      <w:lvlText w:val="%5."/>
      <w:lvlJc w:val="left"/>
      <w:pPr>
        <w:ind w:left="3637" w:hanging="360"/>
      </w:pPr>
    </w:lvl>
    <w:lvl w:ilvl="5" w:tplc="240A001B" w:tentative="1">
      <w:start w:val="1"/>
      <w:numFmt w:val="lowerRoman"/>
      <w:lvlText w:val="%6."/>
      <w:lvlJc w:val="right"/>
      <w:pPr>
        <w:ind w:left="4357" w:hanging="180"/>
      </w:pPr>
    </w:lvl>
    <w:lvl w:ilvl="6" w:tplc="240A000F" w:tentative="1">
      <w:start w:val="1"/>
      <w:numFmt w:val="decimal"/>
      <w:lvlText w:val="%7."/>
      <w:lvlJc w:val="left"/>
      <w:pPr>
        <w:ind w:left="5077" w:hanging="360"/>
      </w:pPr>
    </w:lvl>
    <w:lvl w:ilvl="7" w:tplc="240A0019" w:tentative="1">
      <w:start w:val="1"/>
      <w:numFmt w:val="lowerLetter"/>
      <w:lvlText w:val="%8."/>
      <w:lvlJc w:val="left"/>
      <w:pPr>
        <w:ind w:left="5797" w:hanging="360"/>
      </w:pPr>
    </w:lvl>
    <w:lvl w:ilvl="8" w:tplc="240A001B" w:tentative="1">
      <w:start w:val="1"/>
      <w:numFmt w:val="lowerRoman"/>
      <w:lvlText w:val="%9."/>
      <w:lvlJc w:val="right"/>
      <w:pPr>
        <w:ind w:left="6517" w:hanging="180"/>
      </w:pPr>
    </w:lvl>
  </w:abstractNum>
  <w:abstractNum w:abstractNumId="3" w15:restartNumberingAfterBreak="0">
    <w:nsid w:val="18E11F05"/>
    <w:multiLevelType w:val="hybridMultilevel"/>
    <w:tmpl w:val="0F7E9630"/>
    <w:lvl w:ilvl="0" w:tplc="B0C64602">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26870CF"/>
    <w:multiLevelType w:val="hybridMultilevel"/>
    <w:tmpl w:val="6C3EE87E"/>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1F80844"/>
    <w:multiLevelType w:val="hybridMultilevel"/>
    <w:tmpl w:val="90802406"/>
    <w:lvl w:ilvl="0" w:tplc="240A0017">
      <w:start w:val="1"/>
      <w:numFmt w:val="lowerLetter"/>
      <w:lvlText w:val="%1)"/>
      <w:lvlJc w:val="left"/>
      <w:pPr>
        <w:ind w:left="757" w:hanging="360"/>
      </w:pPr>
    </w:lvl>
    <w:lvl w:ilvl="1" w:tplc="240A0019" w:tentative="1">
      <w:start w:val="1"/>
      <w:numFmt w:val="lowerLetter"/>
      <w:lvlText w:val="%2."/>
      <w:lvlJc w:val="left"/>
      <w:pPr>
        <w:ind w:left="1477" w:hanging="360"/>
      </w:pPr>
    </w:lvl>
    <w:lvl w:ilvl="2" w:tplc="240A001B" w:tentative="1">
      <w:start w:val="1"/>
      <w:numFmt w:val="lowerRoman"/>
      <w:lvlText w:val="%3."/>
      <w:lvlJc w:val="right"/>
      <w:pPr>
        <w:ind w:left="2197" w:hanging="180"/>
      </w:pPr>
    </w:lvl>
    <w:lvl w:ilvl="3" w:tplc="240A000F" w:tentative="1">
      <w:start w:val="1"/>
      <w:numFmt w:val="decimal"/>
      <w:lvlText w:val="%4."/>
      <w:lvlJc w:val="left"/>
      <w:pPr>
        <w:ind w:left="2917" w:hanging="360"/>
      </w:pPr>
    </w:lvl>
    <w:lvl w:ilvl="4" w:tplc="240A0019" w:tentative="1">
      <w:start w:val="1"/>
      <w:numFmt w:val="lowerLetter"/>
      <w:lvlText w:val="%5."/>
      <w:lvlJc w:val="left"/>
      <w:pPr>
        <w:ind w:left="3637" w:hanging="360"/>
      </w:pPr>
    </w:lvl>
    <w:lvl w:ilvl="5" w:tplc="240A001B" w:tentative="1">
      <w:start w:val="1"/>
      <w:numFmt w:val="lowerRoman"/>
      <w:lvlText w:val="%6."/>
      <w:lvlJc w:val="right"/>
      <w:pPr>
        <w:ind w:left="4357" w:hanging="180"/>
      </w:pPr>
    </w:lvl>
    <w:lvl w:ilvl="6" w:tplc="240A000F" w:tentative="1">
      <w:start w:val="1"/>
      <w:numFmt w:val="decimal"/>
      <w:lvlText w:val="%7."/>
      <w:lvlJc w:val="left"/>
      <w:pPr>
        <w:ind w:left="5077" w:hanging="360"/>
      </w:pPr>
    </w:lvl>
    <w:lvl w:ilvl="7" w:tplc="240A0019" w:tentative="1">
      <w:start w:val="1"/>
      <w:numFmt w:val="lowerLetter"/>
      <w:lvlText w:val="%8."/>
      <w:lvlJc w:val="left"/>
      <w:pPr>
        <w:ind w:left="5797" w:hanging="360"/>
      </w:pPr>
    </w:lvl>
    <w:lvl w:ilvl="8" w:tplc="240A001B" w:tentative="1">
      <w:start w:val="1"/>
      <w:numFmt w:val="lowerRoman"/>
      <w:lvlText w:val="%9."/>
      <w:lvlJc w:val="right"/>
      <w:pPr>
        <w:ind w:left="6517" w:hanging="180"/>
      </w:pPr>
    </w:lvl>
  </w:abstractNum>
  <w:abstractNum w:abstractNumId="6" w15:restartNumberingAfterBreak="0">
    <w:nsid w:val="646C42C8"/>
    <w:multiLevelType w:val="hybridMultilevel"/>
    <w:tmpl w:val="74020E2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12E45BC"/>
    <w:multiLevelType w:val="hybridMultilevel"/>
    <w:tmpl w:val="D9ECBD76"/>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0"/>
  </w:num>
  <w:num w:numId="4">
    <w:abstractNumId w:val="5"/>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35B4"/>
    <w:rsid w:val="00005DF8"/>
    <w:rsid w:val="00033443"/>
    <w:rsid w:val="0004535A"/>
    <w:rsid w:val="000A43B9"/>
    <w:rsid w:val="000A54E6"/>
    <w:rsid w:val="000C61C9"/>
    <w:rsid w:val="000E67E6"/>
    <w:rsid w:val="000F23A0"/>
    <w:rsid w:val="0010272B"/>
    <w:rsid w:val="00121D94"/>
    <w:rsid w:val="001B661E"/>
    <w:rsid w:val="001E0A6E"/>
    <w:rsid w:val="001E151C"/>
    <w:rsid w:val="001E734F"/>
    <w:rsid w:val="00236193"/>
    <w:rsid w:val="002723EF"/>
    <w:rsid w:val="0028473C"/>
    <w:rsid w:val="002A35B4"/>
    <w:rsid w:val="002B4FB1"/>
    <w:rsid w:val="00305424"/>
    <w:rsid w:val="00325AFA"/>
    <w:rsid w:val="00327204"/>
    <w:rsid w:val="0034247E"/>
    <w:rsid w:val="00410C43"/>
    <w:rsid w:val="00425E8C"/>
    <w:rsid w:val="004318AA"/>
    <w:rsid w:val="00446D44"/>
    <w:rsid w:val="00471980"/>
    <w:rsid w:val="004737CA"/>
    <w:rsid w:val="004A35B8"/>
    <w:rsid w:val="004C58D7"/>
    <w:rsid w:val="004D517A"/>
    <w:rsid w:val="005032C0"/>
    <w:rsid w:val="00511A76"/>
    <w:rsid w:val="00517499"/>
    <w:rsid w:val="00535410"/>
    <w:rsid w:val="00545D34"/>
    <w:rsid w:val="005469CC"/>
    <w:rsid w:val="005634F0"/>
    <w:rsid w:val="00594FA4"/>
    <w:rsid w:val="00603E25"/>
    <w:rsid w:val="006046A1"/>
    <w:rsid w:val="00626FA8"/>
    <w:rsid w:val="00642F6F"/>
    <w:rsid w:val="006537AE"/>
    <w:rsid w:val="00685141"/>
    <w:rsid w:val="00694987"/>
    <w:rsid w:val="006F59B6"/>
    <w:rsid w:val="00707997"/>
    <w:rsid w:val="00711D42"/>
    <w:rsid w:val="00747885"/>
    <w:rsid w:val="00755701"/>
    <w:rsid w:val="0076693B"/>
    <w:rsid w:val="00773BF9"/>
    <w:rsid w:val="007821E8"/>
    <w:rsid w:val="007C6A89"/>
    <w:rsid w:val="007C6CE1"/>
    <w:rsid w:val="007C7243"/>
    <w:rsid w:val="007F2704"/>
    <w:rsid w:val="0080136D"/>
    <w:rsid w:val="00835C48"/>
    <w:rsid w:val="00840846"/>
    <w:rsid w:val="0087154A"/>
    <w:rsid w:val="008B4A80"/>
    <w:rsid w:val="008D5EA1"/>
    <w:rsid w:val="008F46C3"/>
    <w:rsid w:val="00903773"/>
    <w:rsid w:val="009120CB"/>
    <w:rsid w:val="0095372F"/>
    <w:rsid w:val="0097775C"/>
    <w:rsid w:val="009D593E"/>
    <w:rsid w:val="00A06EED"/>
    <w:rsid w:val="00A116ED"/>
    <w:rsid w:val="00A20675"/>
    <w:rsid w:val="00A20EE0"/>
    <w:rsid w:val="00A258CE"/>
    <w:rsid w:val="00A37385"/>
    <w:rsid w:val="00A51F20"/>
    <w:rsid w:val="00A60BF8"/>
    <w:rsid w:val="00A809B4"/>
    <w:rsid w:val="00A95E0A"/>
    <w:rsid w:val="00AB3A88"/>
    <w:rsid w:val="00AF02AD"/>
    <w:rsid w:val="00AF576D"/>
    <w:rsid w:val="00B0237D"/>
    <w:rsid w:val="00B220E4"/>
    <w:rsid w:val="00B31DB5"/>
    <w:rsid w:val="00B4040E"/>
    <w:rsid w:val="00B70F42"/>
    <w:rsid w:val="00B83812"/>
    <w:rsid w:val="00BC60D2"/>
    <w:rsid w:val="00BF627B"/>
    <w:rsid w:val="00C01629"/>
    <w:rsid w:val="00C10826"/>
    <w:rsid w:val="00C12333"/>
    <w:rsid w:val="00C92191"/>
    <w:rsid w:val="00C92646"/>
    <w:rsid w:val="00CE74AC"/>
    <w:rsid w:val="00D16850"/>
    <w:rsid w:val="00D3441D"/>
    <w:rsid w:val="00D46B8C"/>
    <w:rsid w:val="00D57CC6"/>
    <w:rsid w:val="00D95154"/>
    <w:rsid w:val="00DB7B10"/>
    <w:rsid w:val="00DC6E9A"/>
    <w:rsid w:val="00DD617F"/>
    <w:rsid w:val="00EA1197"/>
    <w:rsid w:val="00F17BB8"/>
    <w:rsid w:val="00F83DB7"/>
    <w:rsid w:val="00FC470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26F4A"/>
  <w15:chartTrackingRefBased/>
  <w15:docId w15:val="{102922CD-F1DE-4865-99CA-BE542A120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35B4"/>
  </w:style>
  <w:style w:type="paragraph" w:styleId="Ttulo3">
    <w:name w:val="heading 3"/>
    <w:basedOn w:val="Normal"/>
    <w:next w:val="Normal"/>
    <w:link w:val="Ttulo3Car"/>
    <w:uiPriority w:val="9"/>
    <w:unhideWhenUsed/>
    <w:qFormat/>
    <w:rsid w:val="002A35B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A35B4"/>
    <w:pPr>
      <w:spacing w:after="200" w:line="276" w:lineRule="auto"/>
      <w:ind w:left="720"/>
      <w:contextualSpacing/>
    </w:pPr>
    <w:rPr>
      <w:lang w:val="es-PE"/>
    </w:rPr>
  </w:style>
  <w:style w:type="paragraph" w:styleId="Textonotapie">
    <w:name w:val="footnote text"/>
    <w:basedOn w:val="Normal"/>
    <w:link w:val="TextonotapieCar"/>
    <w:uiPriority w:val="99"/>
    <w:semiHidden/>
    <w:unhideWhenUsed/>
    <w:rsid w:val="002A35B4"/>
    <w:pPr>
      <w:spacing w:after="0" w:line="240" w:lineRule="auto"/>
    </w:pPr>
    <w:rPr>
      <w:sz w:val="20"/>
      <w:szCs w:val="20"/>
      <w:lang w:val="es-PE"/>
    </w:rPr>
  </w:style>
  <w:style w:type="character" w:customStyle="1" w:styleId="TextonotapieCar">
    <w:name w:val="Texto nota pie Car"/>
    <w:basedOn w:val="Fuentedeprrafopredeter"/>
    <w:link w:val="Textonotapie"/>
    <w:uiPriority w:val="99"/>
    <w:semiHidden/>
    <w:rsid w:val="002A35B4"/>
    <w:rPr>
      <w:sz w:val="20"/>
      <w:szCs w:val="20"/>
      <w:lang w:val="es-PE"/>
    </w:rPr>
  </w:style>
  <w:style w:type="character" w:styleId="Refdenotaalpie">
    <w:name w:val="footnote reference"/>
    <w:basedOn w:val="Fuentedeprrafopredeter"/>
    <w:uiPriority w:val="99"/>
    <w:semiHidden/>
    <w:unhideWhenUsed/>
    <w:rsid w:val="002A35B4"/>
    <w:rPr>
      <w:vertAlign w:val="superscript"/>
    </w:rPr>
  </w:style>
  <w:style w:type="paragraph" w:styleId="Sinespaciado">
    <w:name w:val="No Spacing"/>
    <w:uiPriority w:val="1"/>
    <w:qFormat/>
    <w:rsid w:val="002A35B4"/>
    <w:pPr>
      <w:spacing w:after="0" w:line="240" w:lineRule="auto"/>
    </w:pPr>
    <w:rPr>
      <w:lang w:val="es-PE"/>
    </w:rPr>
  </w:style>
  <w:style w:type="character" w:customStyle="1" w:styleId="Ttulo3Car">
    <w:name w:val="Título 3 Car"/>
    <w:basedOn w:val="Fuentedeprrafopredeter"/>
    <w:link w:val="Ttulo3"/>
    <w:uiPriority w:val="9"/>
    <w:rsid w:val="002A35B4"/>
    <w:rPr>
      <w:rFonts w:asciiTheme="majorHAnsi" w:eastAsiaTheme="majorEastAsia" w:hAnsiTheme="majorHAnsi" w:cstheme="majorBidi"/>
      <w:color w:val="1F3763" w:themeColor="accent1" w:themeShade="7F"/>
      <w:sz w:val="24"/>
      <w:szCs w:val="24"/>
    </w:rPr>
  </w:style>
  <w:style w:type="character" w:styleId="Hipervnculo">
    <w:name w:val="Hyperlink"/>
    <w:basedOn w:val="Fuentedeprrafopredeter"/>
    <w:uiPriority w:val="99"/>
    <w:semiHidden/>
    <w:unhideWhenUsed/>
    <w:rsid w:val="00511A76"/>
    <w:rPr>
      <w:color w:val="0000FF"/>
      <w:u w:val="single"/>
    </w:rPr>
  </w:style>
  <w:style w:type="table" w:styleId="Tablaconcuadrcula">
    <w:name w:val="Table Grid"/>
    <w:basedOn w:val="Tablanormal"/>
    <w:uiPriority w:val="39"/>
    <w:rsid w:val="001027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0C61C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C61C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129442">
      <w:bodyDiv w:val="1"/>
      <w:marLeft w:val="0"/>
      <w:marRight w:val="0"/>
      <w:marTop w:val="0"/>
      <w:marBottom w:val="0"/>
      <w:divBdr>
        <w:top w:val="none" w:sz="0" w:space="0" w:color="auto"/>
        <w:left w:val="none" w:sz="0" w:space="0" w:color="auto"/>
        <w:bottom w:val="none" w:sz="0" w:space="0" w:color="auto"/>
        <w:right w:val="none" w:sz="0" w:space="0" w:color="auto"/>
      </w:divBdr>
    </w:div>
    <w:div w:id="588077377">
      <w:bodyDiv w:val="1"/>
      <w:marLeft w:val="0"/>
      <w:marRight w:val="0"/>
      <w:marTop w:val="0"/>
      <w:marBottom w:val="0"/>
      <w:divBdr>
        <w:top w:val="none" w:sz="0" w:space="0" w:color="auto"/>
        <w:left w:val="none" w:sz="0" w:space="0" w:color="auto"/>
        <w:bottom w:val="none" w:sz="0" w:space="0" w:color="auto"/>
        <w:right w:val="none" w:sz="0" w:space="0" w:color="auto"/>
      </w:divBdr>
    </w:div>
    <w:div w:id="1168056041">
      <w:bodyDiv w:val="1"/>
      <w:marLeft w:val="0"/>
      <w:marRight w:val="0"/>
      <w:marTop w:val="0"/>
      <w:marBottom w:val="0"/>
      <w:divBdr>
        <w:top w:val="none" w:sz="0" w:space="0" w:color="auto"/>
        <w:left w:val="none" w:sz="0" w:space="0" w:color="auto"/>
        <w:bottom w:val="none" w:sz="0" w:space="0" w:color="auto"/>
        <w:right w:val="none" w:sz="0" w:space="0" w:color="auto"/>
      </w:divBdr>
    </w:div>
    <w:div w:id="1257052597">
      <w:bodyDiv w:val="1"/>
      <w:marLeft w:val="0"/>
      <w:marRight w:val="0"/>
      <w:marTop w:val="0"/>
      <w:marBottom w:val="0"/>
      <w:divBdr>
        <w:top w:val="none" w:sz="0" w:space="0" w:color="auto"/>
        <w:left w:val="none" w:sz="0" w:space="0" w:color="auto"/>
        <w:bottom w:val="none" w:sz="0" w:space="0" w:color="auto"/>
        <w:right w:val="none" w:sz="0" w:space="0" w:color="auto"/>
      </w:divBdr>
    </w:div>
    <w:div w:id="1774284572">
      <w:bodyDiv w:val="1"/>
      <w:marLeft w:val="0"/>
      <w:marRight w:val="0"/>
      <w:marTop w:val="0"/>
      <w:marBottom w:val="0"/>
      <w:divBdr>
        <w:top w:val="none" w:sz="0" w:space="0" w:color="auto"/>
        <w:left w:val="none" w:sz="0" w:space="0" w:color="auto"/>
        <w:bottom w:val="none" w:sz="0" w:space="0" w:color="auto"/>
        <w:right w:val="none" w:sz="0" w:space="0" w:color="auto"/>
      </w:divBdr>
    </w:div>
    <w:div w:id="2013952349">
      <w:bodyDiv w:val="1"/>
      <w:marLeft w:val="0"/>
      <w:marRight w:val="0"/>
      <w:marTop w:val="0"/>
      <w:marBottom w:val="0"/>
      <w:divBdr>
        <w:top w:val="none" w:sz="0" w:space="0" w:color="auto"/>
        <w:left w:val="none" w:sz="0" w:space="0" w:color="auto"/>
        <w:bottom w:val="none" w:sz="0" w:space="0" w:color="auto"/>
        <w:right w:val="none" w:sz="0" w:space="0" w:color="auto"/>
      </w:divBdr>
    </w:div>
    <w:div w:id="2044597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4DC5EA2C59BCC47B066100D5D9027B6" ma:contentTypeVersion="7" ma:contentTypeDescription="Crear nuevo documento." ma:contentTypeScope="" ma:versionID="5657490e4298a943431e953a03e433ec">
  <xsd:schema xmlns:xsd="http://www.w3.org/2001/XMLSchema" xmlns:xs="http://www.w3.org/2001/XMLSchema" xmlns:p="http://schemas.microsoft.com/office/2006/metadata/properties" xmlns:ns3="e55ccc12-62d4-4ee5-a72d-7870abaa4977" xmlns:ns4="d5751d42-36bc-49fa-9427-e1464e70362c" targetNamespace="http://schemas.microsoft.com/office/2006/metadata/properties" ma:root="true" ma:fieldsID="0ce83cccd98096612f9e1af43bb68bd8" ns3:_="" ns4:_="">
    <xsd:import namespace="e55ccc12-62d4-4ee5-a72d-7870abaa4977"/>
    <xsd:import namespace="d5751d42-36bc-49fa-9427-e1464e70362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5ccc12-62d4-4ee5-a72d-7870abaa497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751d42-36bc-49fa-9427-e1464e70362c" elementFormDefault="qualified">
    <xsd:import namespace="http://schemas.microsoft.com/office/2006/documentManagement/types"/>
    <xsd:import namespace="http://schemas.microsoft.com/office/infopath/2007/PartnerControls"/>
    <xsd:element name="SharedWithUsers" ma:index="12"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description="" ma:internalName="SharedWithDetails" ma:readOnly="true">
      <xsd:simpleType>
        <xsd:restriction base="dms:Note">
          <xsd:maxLength value="255"/>
        </xsd:restriction>
      </xsd:simpleType>
    </xsd:element>
    <xsd:element name="SharingHintHash" ma:index="14" nillable="true" ma:displayName="Hash de la sugerencia para compartir"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44CFB5-8BDC-45C0-AA02-902EDFA9EA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5ccc12-62d4-4ee5-a72d-7870abaa4977"/>
    <ds:schemaRef ds:uri="d5751d42-36bc-49fa-9427-e1464e7036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B97612-4305-40BB-AEDF-FCD861F287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DA7639-4373-49CF-AC8F-DF35418EF5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528</Words>
  <Characters>2910</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YERKA TRINIDAD FERNANDEZ URRUTIA</dc:creator>
  <cp:keywords/>
  <dc:description/>
  <cp:lastModifiedBy>ALEXANDRA GIANELLA CAMPOS BOTELLO</cp:lastModifiedBy>
  <cp:revision>2</cp:revision>
  <cp:lastPrinted>2020-07-20T21:07:00Z</cp:lastPrinted>
  <dcterms:created xsi:type="dcterms:W3CDTF">2020-07-20T21:14:00Z</dcterms:created>
  <dcterms:modified xsi:type="dcterms:W3CDTF">2020-07-20T21:14:00Z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0x010100C4DC5EA2C59BCC47B066100D5D9027B6</vt:lpwstr>
  </property>
</Properties>
</file>